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after="0" w:before="0" w:line="240" w:lineRule="auto"/>
        <w:contextualSpacing w:val="0"/>
        <w:rPr>
          <w:b w:val="1"/>
          <w:color w:val="333333"/>
          <w:sz w:val="36"/>
          <w:szCs w:val="36"/>
          <w:highlight w:val="white"/>
        </w:rPr>
      </w:pPr>
      <w:bookmarkStart w:colFirst="0" w:colLast="0" w:name="_qyms78iwxo8c" w:id="0"/>
      <w:bookmarkEnd w:id="0"/>
      <w:r w:rsidDel="00000000" w:rsidR="00000000" w:rsidRPr="00000000">
        <w:rPr>
          <w:b w:val="1"/>
          <w:color w:val="333333"/>
          <w:sz w:val="36"/>
          <w:szCs w:val="36"/>
          <w:highlight w:val="white"/>
          <w:rtl w:val="0"/>
        </w:rPr>
        <w:t xml:space="preserve">Call for consultants: AidWatch Report 2017</w:t>
      </w:r>
    </w:p>
    <w:p w:rsidR="00000000" w:rsidDel="00000000" w:rsidP="00000000" w:rsidRDefault="00000000" w:rsidRPr="00000000">
      <w:pPr>
        <w:pBdr/>
        <w:spacing w:after="100" w:lineRule="auto"/>
        <w:contextualSpacing w:val="0"/>
        <w:rPr>
          <w:color w:val="666666"/>
          <w:sz w:val="21"/>
          <w:szCs w:val="21"/>
          <w:highlight w:val="white"/>
        </w:rPr>
      </w:pPr>
      <w:hyperlink r:id="rId5">
        <w:r w:rsidDel="00000000" w:rsidR="00000000" w:rsidRPr="00000000">
          <w:rPr>
            <w:rtl w:val="0"/>
          </w:rPr>
        </w:r>
      </w:hyperlink>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In the framework of the preparation of the AidWatch Report 2017, CONCORD Europe is launching a call for external consultants. Each year, CONCORD produces an </w:t>
      </w:r>
      <w:r w:rsidDel="00000000" w:rsidR="00000000" w:rsidRPr="00000000">
        <w:rPr>
          <w:color w:val="666666"/>
          <w:sz w:val="21"/>
          <w:szCs w:val="21"/>
          <w:highlight w:val="white"/>
          <w:rtl w:val="0"/>
        </w:rPr>
        <w:t xml:space="preserve">annual AidWatch report</w:t>
      </w:r>
      <w:r w:rsidDel="00000000" w:rsidR="00000000" w:rsidRPr="00000000">
        <w:rPr>
          <w:color w:val="666666"/>
          <w:sz w:val="21"/>
          <w:szCs w:val="21"/>
          <w:highlight w:val="white"/>
          <w:rtl w:val="0"/>
        </w:rPr>
        <w:t xml:space="preserve"> on the quantity and quality of European aid. This report is launched in countries across Europe and used to inform coordinated European lobby work to influence policy makers and hold governments to account on their aid pledges. </w:t>
      </w:r>
    </w:p>
    <w:p w:rsidR="00000000" w:rsidDel="00000000" w:rsidP="00000000" w:rsidRDefault="00000000" w:rsidRPr="00000000">
      <w:pPr>
        <w:pBdr/>
        <w:spacing w:line="0" w:lineRule="auto"/>
        <w:ind w:right="660"/>
        <w:contextualSpacing w:val="0"/>
        <w:jc w:val="center"/>
        <w:rPr>
          <w:color w:val="666666"/>
          <w:sz w:val="21"/>
          <w:szCs w:val="21"/>
          <w:highlight w:val="white"/>
        </w:rPr>
      </w:pPr>
      <w:r w:rsidDel="00000000" w:rsidR="00000000" w:rsidRPr="00000000">
        <w:rPr>
          <w:rtl w:val="0"/>
        </w:rPr>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b w:val="1"/>
          <w:color w:val="c91910"/>
          <w:sz w:val="21"/>
          <w:szCs w:val="21"/>
          <w:highlight w:val="white"/>
          <w:rtl w:val="0"/>
        </w:rPr>
        <w:t xml:space="preserve">TIMELINE</w:t>
      </w:r>
      <w:r w:rsidDel="00000000" w:rsidR="00000000" w:rsidRPr="00000000">
        <w:rPr>
          <w:color w:val="666666"/>
          <w:sz w:val="21"/>
          <w:szCs w:val="21"/>
          <w:highlight w:val="white"/>
          <w:rtl w:val="0"/>
        </w:rPr>
        <w:t xml:space="preserve">: The work should be done </w:t>
      </w:r>
      <w:r w:rsidDel="00000000" w:rsidR="00000000" w:rsidRPr="00000000">
        <w:rPr>
          <w:b w:val="1"/>
          <w:color w:val="666666"/>
          <w:sz w:val="21"/>
          <w:szCs w:val="21"/>
          <w:highlight w:val="white"/>
          <w:rtl w:val="0"/>
        </w:rPr>
        <w:t xml:space="preserve">between mid-April 2017 and end of September 2017</w:t>
      </w:r>
      <w:r w:rsidDel="00000000" w:rsidR="00000000" w:rsidRPr="00000000">
        <w:rPr>
          <w:color w:val="666666"/>
          <w:sz w:val="21"/>
          <w:szCs w:val="21"/>
          <w:highlight w:val="white"/>
          <w:rtl w:val="0"/>
        </w:rPr>
        <w:t xml:space="preserve"> when a final draft should be presented. </w:t>
      </w:r>
    </w:p>
    <w:p w:rsidR="00000000" w:rsidDel="00000000" w:rsidP="00000000" w:rsidRDefault="00000000" w:rsidRPr="00000000">
      <w:pPr>
        <w:pBdr/>
        <w:contextualSpacing w:val="0"/>
        <w:rPr>
          <w:b w:val="1"/>
          <w:color w:val="c91910"/>
          <w:sz w:val="21"/>
          <w:szCs w:val="21"/>
          <w:highlight w:val="white"/>
        </w:rPr>
      </w:pPr>
      <w:r w:rsidDel="00000000" w:rsidR="00000000" w:rsidRPr="00000000">
        <w:rPr>
          <w:rtl w:val="0"/>
        </w:rPr>
      </w:r>
    </w:p>
    <w:p w:rsidR="00000000" w:rsidDel="00000000" w:rsidP="00000000" w:rsidRDefault="00000000" w:rsidRPr="00000000">
      <w:pPr>
        <w:pBdr/>
        <w:contextualSpacing w:val="0"/>
        <w:rPr>
          <w:color w:val="666666"/>
          <w:sz w:val="21"/>
          <w:szCs w:val="21"/>
          <w:highlight w:val="white"/>
        </w:rPr>
      </w:pPr>
      <w:r w:rsidDel="00000000" w:rsidR="00000000" w:rsidRPr="00000000">
        <w:rPr>
          <w:b w:val="1"/>
          <w:color w:val="c91910"/>
          <w:sz w:val="21"/>
          <w:szCs w:val="21"/>
          <w:highlight w:val="white"/>
          <w:rtl w:val="0"/>
        </w:rPr>
        <w:t xml:space="preserve">JOB DESCRIPTION</w:t>
      </w:r>
      <w:r w:rsidDel="00000000" w:rsidR="00000000" w:rsidRPr="00000000">
        <w:rPr>
          <w:color w:val="c91910"/>
          <w:sz w:val="21"/>
          <w:szCs w:val="21"/>
          <w:highlight w:val="white"/>
          <w:rtl w:val="0"/>
        </w:rPr>
        <w:t xml:space="preserve">:</w:t>
      </w:r>
      <w:r w:rsidDel="00000000" w:rsidR="00000000" w:rsidRPr="00000000">
        <w:rPr>
          <w:color w:val="666666"/>
          <w:sz w:val="21"/>
          <w:szCs w:val="21"/>
          <w:highlight w:val="white"/>
          <w:rtl w:val="0"/>
        </w:rPr>
        <w:t xml:space="preserve"> The main tasks of the work would consist in:</w:t>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Facilitate </w:t>
      </w:r>
      <w:r w:rsidDel="00000000" w:rsidR="00000000" w:rsidRPr="00000000">
        <w:rPr>
          <w:color w:val="666666"/>
          <w:sz w:val="21"/>
          <w:szCs w:val="21"/>
          <w:highlight w:val="white"/>
          <w:u w:val="single"/>
          <w:rtl w:val="0"/>
        </w:rPr>
        <w:t xml:space="preserve">CONCORD members</w:t>
      </w:r>
      <w:r w:rsidDel="00000000" w:rsidR="00000000" w:rsidRPr="00000000">
        <w:rPr>
          <w:color w:val="666666"/>
          <w:sz w:val="21"/>
          <w:szCs w:val="21"/>
          <w:highlight w:val="white"/>
          <w:rtl w:val="0"/>
        </w:rPr>
        <w:t xml:space="preserve"> (‘HUB2’) discussion to explore the new ways of the AidWatch Report content/format </w:t>
      </w:r>
      <w:r w:rsidDel="00000000" w:rsidR="00000000" w:rsidRPr="00000000">
        <w:rPr>
          <w:color w:val="666666"/>
          <w:sz w:val="21"/>
          <w:szCs w:val="21"/>
          <w:highlight w:val="white"/>
          <w:u w:val="single"/>
          <w:rtl w:val="0"/>
        </w:rPr>
        <w:t xml:space="preserve">(May 9-10)</w:t>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Preparation of the concept note for the AidWatch Report 2017 and questionnaire for quantitative and qualitative data collection from CONCORD’s national platforms in consultation with the CONCORD HUB2 ODA&amp;Development Effectiveness workstream; </w:t>
      </w:r>
    </w:p>
    <w:p w:rsidR="00000000" w:rsidDel="00000000" w:rsidP="00000000" w:rsidRDefault="00000000" w:rsidRPr="00000000">
      <w:pPr>
        <w:numPr>
          <w:ilvl w:val="0"/>
          <w:numId w:val="1"/>
        </w:numPr>
        <w:pBdr/>
        <w:spacing w:line="276" w:lineRule="auto"/>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Coordination of the AidWatch national focal points throughout the process of the production of the AidWatch Report; </w:t>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Analysing the DAC OECD statistics (CRS) in general and on selected issues (imputed student costs, refugee costs, debt relief, tied aid, loans) from 2010-2016;</w:t>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Drafting the overview chapter of the report including graphs and tables (on the basis of the questionnaire data received from the National platforms), EC country page  and incorporating comments from the consultation process;</w:t>
      </w:r>
    </w:p>
    <w:p w:rsidR="00000000" w:rsidDel="00000000" w:rsidP="00000000" w:rsidRDefault="00000000" w:rsidRPr="00000000">
      <w:pPr>
        <w:numPr>
          <w:ilvl w:val="0"/>
          <w:numId w:val="1"/>
        </w:numPr>
        <w:pBdr/>
        <w:spacing w:line="276" w:lineRule="auto"/>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Drafting of the accompanying policy papers on selected ODA issues related to the AidWatch Report; </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Attend the HUB2 meeting on 9-10 May in Brussels;</w:t>
      </w:r>
    </w:p>
    <w:p w:rsidR="00000000" w:rsidDel="00000000" w:rsidP="00000000" w:rsidRDefault="00000000" w:rsidRPr="00000000">
      <w:pPr>
        <w:numPr>
          <w:ilvl w:val="0"/>
          <w:numId w:val="1"/>
        </w:numPr>
        <w:pBdr/>
        <w:spacing w:line="276" w:lineRule="auto"/>
        <w:ind w:left="720" w:hanging="360"/>
        <w:contextualSpacing w:val="1"/>
        <w:jc w:val="both"/>
        <w:rPr/>
      </w:pPr>
      <w:r w:rsidDel="00000000" w:rsidR="00000000" w:rsidRPr="00000000">
        <w:rPr>
          <w:color w:val="666666"/>
          <w:sz w:val="21"/>
          <w:szCs w:val="21"/>
          <w:highlight w:val="white"/>
          <w:rtl w:val="0"/>
        </w:rPr>
        <w:t xml:space="preserve">Regular participation in teleconferences of the CONCORD HUB2 ODA&amp;Development Effectiveness workstream;</w:t>
      </w:r>
    </w:p>
    <w:p w:rsidR="00000000" w:rsidDel="00000000" w:rsidP="00000000" w:rsidRDefault="00000000" w:rsidRPr="00000000">
      <w:pPr>
        <w:numPr>
          <w:ilvl w:val="0"/>
          <w:numId w:val="1"/>
        </w:numPr>
        <w:pBdr/>
        <w:spacing w:line="276" w:lineRule="auto"/>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Working with designer on the layout and presentation and communication of the report findings</w:t>
      </w:r>
    </w:p>
    <w:p w:rsidR="00000000" w:rsidDel="00000000" w:rsidP="00000000" w:rsidRDefault="00000000" w:rsidRPr="00000000">
      <w:pPr>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contextualSpacing w:val="0"/>
        <w:rPr>
          <w:b w:val="1"/>
          <w:color w:val="c91910"/>
          <w:sz w:val="21"/>
          <w:szCs w:val="21"/>
          <w:highlight w:val="white"/>
        </w:rPr>
      </w:pPr>
      <w:r w:rsidDel="00000000" w:rsidR="00000000" w:rsidRPr="00000000">
        <w:rPr>
          <w:b w:val="1"/>
          <w:color w:val="c91910"/>
          <w:sz w:val="21"/>
          <w:szCs w:val="21"/>
          <w:highlight w:val="white"/>
          <w:rtl w:val="0"/>
        </w:rPr>
        <w:t xml:space="preserve">Report content and format for consultant to carry out:</w:t>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The primary purpose of the AidWatch Report 2017  is to hold the EU and member states to account for their commitments on aid quantity and quality as well as for focussing aid on poverty and inequality reduction.</w:t>
      </w:r>
    </w:p>
    <w:p w:rsidR="00000000" w:rsidDel="00000000" w:rsidP="00000000" w:rsidRDefault="00000000" w:rsidRPr="00000000">
      <w:pPr>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The AidWatch Report 2017 will focus on capturing the main ODA trends and will be accompanied by two-three additional policy papers on selected policy issues such as securitisation of aid or refugee costs.</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 </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Format of the report</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w:t>
      </w:r>
      <w:r w:rsidDel="00000000" w:rsidR="00000000" w:rsidRPr="00000000">
        <w:rPr>
          <w:color w:val="666666"/>
          <w:sz w:val="21"/>
          <w:szCs w:val="21"/>
          <w:highlight w:val="white"/>
          <w:rtl w:val="0"/>
        </w:rPr>
        <w:t xml:space="preserve">         </w:t>
      </w:r>
      <w:r w:rsidDel="00000000" w:rsidR="00000000" w:rsidRPr="00000000">
        <w:rPr>
          <w:color w:val="666666"/>
          <w:sz w:val="21"/>
          <w:szCs w:val="21"/>
          <w:highlight w:val="white"/>
          <w:rtl w:val="0"/>
        </w:rPr>
        <w:t xml:space="preserve">Overview chapter on the EU aid trends (drafted by AW consultant)</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w:t>
      </w:r>
      <w:r w:rsidDel="00000000" w:rsidR="00000000" w:rsidRPr="00000000">
        <w:rPr>
          <w:color w:val="666666"/>
          <w:sz w:val="21"/>
          <w:szCs w:val="21"/>
          <w:highlight w:val="white"/>
          <w:rtl w:val="0"/>
        </w:rPr>
        <w:t xml:space="preserve">         </w:t>
      </w:r>
      <w:r w:rsidDel="00000000" w:rsidR="00000000" w:rsidRPr="00000000">
        <w:rPr>
          <w:color w:val="666666"/>
          <w:sz w:val="21"/>
          <w:szCs w:val="21"/>
          <w:highlight w:val="white"/>
          <w:rtl w:val="0"/>
        </w:rPr>
        <w:t xml:space="preserve">Country pages (prepared by national platforms and edited by AW consultant)</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w:t>
      </w:r>
      <w:r w:rsidDel="00000000" w:rsidR="00000000" w:rsidRPr="00000000">
        <w:rPr>
          <w:color w:val="666666"/>
          <w:sz w:val="21"/>
          <w:szCs w:val="21"/>
          <w:highlight w:val="white"/>
          <w:rtl w:val="0"/>
        </w:rPr>
        <w:t xml:space="preserve">         policy papers on selected ODA issues</w:t>
      </w:r>
      <w:r w:rsidDel="00000000" w:rsidR="00000000" w:rsidRPr="00000000">
        <w:rPr>
          <w:color w:val="666666"/>
          <w:sz w:val="21"/>
          <w:szCs w:val="21"/>
          <w:highlight w:val="white"/>
          <w:rtl w:val="0"/>
        </w:rPr>
        <w:t xml:space="preserve"> (written by AW consultant)</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 </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Please see the </w:t>
      </w:r>
      <w:hyperlink r:id="rId6">
        <w:r w:rsidDel="00000000" w:rsidR="00000000" w:rsidRPr="00000000">
          <w:rPr>
            <w:color w:val="1155cc"/>
            <w:sz w:val="21"/>
            <w:szCs w:val="21"/>
            <w:highlight w:val="white"/>
            <w:u w:val="single"/>
            <w:rtl w:val="0"/>
          </w:rPr>
          <w:t xml:space="preserve">https://concordeurope.org/2016/01/09/aidwatch-reports/</w:t>
        </w:r>
      </w:hyperlink>
      <w:r w:rsidDel="00000000" w:rsidR="00000000" w:rsidRPr="00000000">
        <w:rPr>
          <w:color w:val="666666"/>
          <w:sz w:val="21"/>
          <w:szCs w:val="21"/>
          <w:highlight w:val="white"/>
          <w:rtl w:val="0"/>
        </w:rPr>
        <w:t xml:space="preserve"> for examples of the previous reports.</w:t>
      </w:r>
    </w:p>
    <w:p w:rsidR="00000000" w:rsidDel="00000000" w:rsidP="00000000" w:rsidRDefault="00000000" w:rsidRPr="00000000">
      <w:pPr>
        <w:pBdr/>
        <w:contextualSpacing w:val="0"/>
        <w:rPr>
          <w:color w:val="666666"/>
          <w:sz w:val="21"/>
          <w:szCs w:val="21"/>
          <w:highlight w:val="white"/>
        </w:rPr>
      </w:pPr>
      <w:r w:rsidDel="00000000" w:rsidR="00000000" w:rsidRPr="00000000">
        <w:rPr>
          <w:rtl w:val="0"/>
        </w:rPr>
      </w:r>
    </w:p>
    <w:p w:rsidR="00000000" w:rsidDel="00000000" w:rsidP="00000000" w:rsidRDefault="00000000" w:rsidRPr="00000000">
      <w:pPr>
        <w:pBdr/>
        <w:contextualSpacing w:val="0"/>
        <w:rPr>
          <w:b w:val="1"/>
          <w:color w:val="c91910"/>
          <w:sz w:val="21"/>
          <w:szCs w:val="21"/>
          <w:highlight w:val="white"/>
        </w:rPr>
      </w:pPr>
      <w:r w:rsidDel="00000000" w:rsidR="00000000" w:rsidRPr="00000000">
        <w:rPr>
          <w:b w:val="1"/>
          <w:color w:val="c91910"/>
          <w:sz w:val="21"/>
          <w:szCs w:val="21"/>
          <w:highlight w:val="white"/>
          <w:rtl w:val="0"/>
        </w:rPr>
        <w:t xml:space="preserve">Candidate profile:</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Successful candidates for this post will respond as much as possible to the following profile:</w:t>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 </w:t>
      </w:r>
    </w:p>
    <w:p w:rsidR="00000000" w:rsidDel="00000000" w:rsidP="00000000" w:rsidRDefault="00000000" w:rsidRPr="00000000">
      <w:pPr>
        <w:pBdr/>
        <w:contextualSpacing w:val="0"/>
        <w:jc w:val="both"/>
        <w:rPr>
          <w:color w:val="666666"/>
          <w:sz w:val="21"/>
          <w:szCs w:val="21"/>
          <w:highlight w:val="white"/>
        </w:rPr>
      </w:pPr>
      <w:r w:rsidDel="00000000" w:rsidR="00000000" w:rsidRPr="00000000">
        <w:rPr>
          <w:color w:val="666666"/>
          <w:sz w:val="21"/>
          <w:szCs w:val="21"/>
          <w:highlight w:val="white"/>
          <w:rtl w:val="0"/>
        </w:rPr>
        <w:t xml:space="preserve">Essential </w:t>
      </w: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Experience of quantitative and quality data analysis (including use of OECD databases preferably)</w:t>
      </w:r>
    </w:p>
    <w:p w:rsidR="00000000" w:rsidDel="00000000" w:rsidP="00000000" w:rsidRDefault="00000000" w:rsidRPr="00000000">
      <w:pPr>
        <w:numPr>
          <w:ilvl w:val="0"/>
          <w:numId w:val="3"/>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Excellent English writing and editing skills; ability to write about complex issues in an engaging way</w:t>
      </w:r>
    </w:p>
    <w:p w:rsidR="00000000" w:rsidDel="00000000" w:rsidP="00000000" w:rsidRDefault="00000000" w:rsidRPr="00000000">
      <w:pPr>
        <w:numPr>
          <w:ilvl w:val="0"/>
          <w:numId w:val="3"/>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Excellent knowledge of EU Development Cooperation issues</w:t>
      </w:r>
    </w:p>
    <w:p w:rsidR="00000000" w:rsidDel="00000000" w:rsidP="00000000" w:rsidRDefault="00000000" w:rsidRPr="00000000">
      <w:pPr>
        <w:numPr>
          <w:ilvl w:val="0"/>
          <w:numId w:val="3"/>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Very good understanding and knowledge of the aid/development effectiveness agenda</w:t>
      </w:r>
    </w:p>
    <w:p w:rsidR="00000000" w:rsidDel="00000000" w:rsidP="00000000" w:rsidRDefault="00000000" w:rsidRPr="00000000">
      <w:pPr>
        <w:numPr>
          <w:ilvl w:val="0"/>
          <w:numId w:val="3"/>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Experience of coordinating and managing networks or multiple stakeholders would be an advantage.</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 </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Desirable </w:t>
      </w:r>
    </w:p>
    <w:p w:rsidR="00000000" w:rsidDel="00000000" w:rsidP="00000000" w:rsidRDefault="00000000" w:rsidRPr="00000000">
      <w:pPr>
        <w:numPr>
          <w:ilvl w:val="0"/>
          <w:numId w:val="2"/>
        </w:numPr>
        <w:pBdr/>
        <w:ind w:left="720" w:hanging="360"/>
        <w:contextualSpacing w:val="1"/>
        <w:rPr>
          <w:color w:val="666666"/>
          <w:sz w:val="21"/>
          <w:szCs w:val="21"/>
          <w:highlight w:val="white"/>
          <w:u w:val="none"/>
        </w:rPr>
      </w:pPr>
      <w:r w:rsidDel="00000000" w:rsidR="00000000" w:rsidRPr="00000000">
        <w:rPr>
          <w:color w:val="666666"/>
          <w:sz w:val="21"/>
          <w:szCs w:val="21"/>
          <w:highlight w:val="white"/>
          <w:rtl w:val="0"/>
        </w:rPr>
        <w:t xml:space="preserve">Experience of working in the NGO environment and with complex multicultural networks</w:t>
      </w:r>
    </w:p>
    <w:p w:rsidR="00000000" w:rsidDel="00000000" w:rsidP="00000000" w:rsidRDefault="00000000" w:rsidRPr="00000000">
      <w:pPr>
        <w:numPr>
          <w:ilvl w:val="0"/>
          <w:numId w:val="2"/>
        </w:numPr>
        <w:pBdr/>
        <w:ind w:left="720" w:hanging="360"/>
        <w:contextualSpacing w:val="1"/>
        <w:jc w:val="both"/>
        <w:rPr>
          <w:color w:val="666666"/>
          <w:sz w:val="21"/>
          <w:szCs w:val="21"/>
          <w:highlight w:val="white"/>
          <w:u w:val="none"/>
        </w:rPr>
      </w:pPr>
      <w:r w:rsidDel="00000000" w:rsidR="00000000" w:rsidRPr="00000000">
        <w:rPr>
          <w:color w:val="666666"/>
          <w:sz w:val="21"/>
          <w:szCs w:val="21"/>
          <w:highlight w:val="white"/>
          <w:rtl w:val="0"/>
        </w:rPr>
        <w:t xml:space="preserve">Some experience in communication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666666"/>
          <w:sz w:val="21"/>
          <w:szCs w:val="21"/>
          <w:highlight w:val="white"/>
        </w:rPr>
      </w:pPr>
      <w:r w:rsidDel="00000000" w:rsidR="00000000" w:rsidRPr="00000000">
        <w:rPr>
          <w:b w:val="1"/>
          <w:color w:val="c91910"/>
          <w:sz w:val="21"/>
          <w:szCs w:val="21"/>
          <w:highlight w:val="white"/>
          <w:rtl w:val="0"/>
        </w:rPr>
        <w:t xml:space="preserve">APPLICATION PROCESS:</w:t>
      </w:r>
      <w:r w:rsidDel="00000000" w:rsidR="00000000" w:rsidRPr="00000000">
        <w:rPr>
          <w:b w:val="1"/>
          <w:color w:val="666666"/>
          <w:sz w:val="21"/>
          <w:szCs w:val="21"/>
          <w:highlight w:val="white"/>
          <w:rtl w:val="0"/>
        </w:rPr>
        <w:t xml:space="preserve"> </w:t>
      </w:r>
      <w:r w:rsidDel="00000000" w:rsidR="00000000" w:rsidRPr="00000000">
        <w:rPr>
          <w:color w:val="666666"/>
          <w:sz w:val="21"/>
          <w:szCs w:val="21"/>
          <w:highlight w:val="white"/>
          <w:rtl w:val="0"/>
        </w:rPr>
        <w:t xml:space="preserve">Please send a CV outlining your relevance expertise for meeting this assignment along with a proposal on how you will undertake this research, including a suggested number of days and their distribution between the different tasks and phases of the work and your day rate. </w:t>
      </w:r>
    </w:p>
    <w:p w:rsidR="00000000" w:rsidDel="00000000" w:rsidP="00000000" w:rsidRDefault="00000000" w:rsidRPr="00000000">
      <w:pPr>
        <w:pBdr/>
        <w:contextualSpacing w:val="0"/>
        <w:rPr>
          <w:color w:val="666666"/>
          <w:sz w:val="21"/>
          <w:szCs w:val="21"/>
          <w:highlight w:val="white"/>
        </w:rPr>
      </w:pPr>
      <w:r w:rsidDel="00000000" w:rsidR="00000000" w:rsidRPr="00000000">
        <w:rPr>
          <w:color w:val="666666"/>
          <w:sz w:val="21"/>
          <w:szCs w:val="21"/>
          <w:highlight w:val="white"/>
          <w:rtl w:val="0"/>
        </w:rPr>
        <w:t xml:space="preserve"> </w:t>
      </w:r>
    </w:p>
    <w:p w:rsidR="00000000" w:rsidDel="00000000" w:rsidP="00000000" w:rsidRDefault="00000000" w:rsidRPr="00000000">
      <w:pPr>
        <w:pBdr/>
        <w:spacing w:line="331.2" w:lineRule="auto"/>
        <w:contextualSpacing w:val="0"/>
        <w:jc w:val="both"/>
        <w:rPr>
          <w:b w:val="1"/>
          <w:color w:val="666666"/>
          <w:sz w:val="21"/>
          <w:szCs w:val="21"/>
          <w:highlight w:val="white"/>
        </w:rPr>
      </w:pPr>
      <w:r w:rsidDel="00000000" w:rsidR="00000000" w:rsidRPr="00000000">
        <w:rPr>
          <w:color w:val="666666"/>
          <w:sz w:val="21"/>
          <w:szCs w:val="21"/>
          <w:highlight w:val="white"/>
          <w:rtl w:val="0"/>
        </w:rPr>
        <w:t xml:space="preserve">Please submit this to Zuzana Sladkova at CONCORD Europe on zuzana.sladkova@concordeurope.org by </w:t>
      </w:r>
      <w:r w:rsidDel="00000000" w:rsidR="00000000" w:rsidRPr="00000000">
        <w:rPr>
          <w:b w:val="1"/>
          <w:color w:val="666666"/>
          <w:sz w:val="21"/>
          <w:szCs w:val="21"/>
          <w:highlight w:val="white"/>
          <w:rtl w:val="0"/>
        </w:rPr>
        <w:t xml:space="preserve">by Wednesday, 12th April, at 12.00h noon CET.</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oncordeurope.org/2016/05/20/consultants-call-aidwatch-report-2016/#respond" TargetMode="External"/><Relationship Id="rId6" Type="http://schemas.openxmlformats.org/officeDocument/2006/relationships/hyperlink" Target="https://concordeurope.org/2016/01/09/aidwatch-reports/" TargetMode="External"/></Relationships>
</file>